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56759" w14:textId="0E4046C2" w:rsidR="00497F27" w:rsidRDefault="00497F27" w:rsidP="00497F27">
      <w:pPr>
        <w:pStyle w:val="CRCoverPage"/>
        <w:tabs>
          <w:tab w:val="right" w:pos="9639"/>
        </w:tabs>
        <w:spacing w:after="0"/>
        <w:rPr>
          <w:b/>
          <w:i/>
          <w:noProof/>
          <w:sz w:val="28"/>
        </w:rPr>
      </w:pPr>
      <w:r>
        <w:rPr>
          <w:b/>
          <w:noProof/>
          <w:sz w:val="24"/>
        </w:rPr>
        <w:t>3GPP TSG-SA5 Meeting #148e</w:t>
      </w:r>
      <w:r>
        <w:rPr>
          <w:b/>
          <w:i/>
          <w:noProof/>
          <w:sz w:val="24"/>
        </w:rPr>
        <w:t xml:space="preserve"> </w:t>
      </w:r>
      <w:r>
        <w:rPr>
          <w:b/>
          <w:i/>
          <w:noProof/>
          <w:sz w:val="28"/>
        </w:rPr>
        <w:tab/>
      </w:r>
      <w:r w:rsidR="006B77FC" w:rsidRPr="006B77FC">
        <w:rPr>
          <w:b/>
          <w:i/>
          <w:noProof/>
          <w:sz w:val="28"/>
        </w:rPr>
        <w:t>S5-233299</w:t>
      </w:r>
    </w:p>
    <w:p w14:paraId="0D5AAB5C" w14:textId="77777777" w:rsidR="00497F27" w:rsidRDefault="00497F27" w:rsidP="00497F27">
      <w:pPr>
        <w:pStyle w:val="Header"/>
        <w:rPr>
          <w:sz w:val="22"/>
          <w:szCs w:val="22"/>
        </w:rPr>
      </w:pPr>
      <w:r>
        <w:rPr>
          <w:sz w:val="24"/>
        </w:rPr>
        <w:t>Electronic meeting, Online, 17 -25 April 2023</w:t>
      </w:r>
    </w:p>
    <w:p w14:paraId="6A6C9CCB" w14:textId="77777777" w:rsidR="00497F27" w:rsidRPr="00FB3E36" w:rsidRDefault="00497F27" w:rsidP="00497F27">
      <w:pPr>
        <w:keepNext/>
        <w:pBdr>
          <w:bottom w:val="single" w:sz="4" w:space="1" w:color="auto"/>
        </w:pBdr>
        <w:tabs>
          <w:tab w:val="right" w:pos="9639"/>
        </w:tabs>
        <w:outlineLvl w:val="0"/>
        <w:rPr>
          <w:rFonts w:ascii="Arial" w:hAnsi="Arial" w:cs="Arial"/>
          <w:b/>
          <w:bCs/>
          <w:sz w:val="24"/>
        </w:rPr>
      </w:pPr>
    </w:p>
    <w:p w14:paraId="193BCFF6" w14:textId="25B8B073" w:rsidR="00C022E3" w:rsidRPr="00465F10" w:rsidRDefault="00C022E3">
      <w:pPr>
        <w:keepNext/>
        <w:tabs>
          <w:tab w:val="left" w:pos="2127"/>
        </w:tabs>
        <w:spacing w:after="0"/>
        <w:ind w:left="2126" w:hanging="2126"/>
        <w:outlineLvl w:val="0"/>
        <w:rPr>
          <w:rFonts w:ascii="Arial" w:hAnsi="Arial"/>
          <w:b/>
        </w:rPr>
      </w:pPr>
      <w:r w:rsidRPr="00465F10">
        <w:rPr>
          <w:rFonts w:ascii="Arial" w:hAnsi="Arial"/>
          <w:b/>
        </w:rPr>
        <w:t>Source:</w:t>
      </w:r>
      <w:r w:rsidRPr="00465F10">
        <w:rPr>
          <w:rFonts w:ascii="Arial" w:hAnsi="Arial"/>
          <w:b/>
        </w:rPr>
        <w:tab/>
      </w:r>
      <w:r w:rsidR="0021042E" w:rsidRPr="00EE370B">
        <w:rPr>
          <w:rFonts w:ascii="Arial" w:hAnsi="Arial"/>
          <w:b/>
        </w:rPr>
        <w:t>Ericsson</w:t>
      </w:r>
      <w:r w:rsidR="008E4B77">
        <w:rPr>
          <w:rFonts w:ascii="Arial" w:hAnsi="Arial"/>
          <w:b/>
        </w:rPr>
        <w:t xml:space="preserve"> LM</w:t>
      </w:r>
    </w:p>
    <w:p w14:paraId="26A5C7AB" w14:textId="1B82F9AC" w:rsidR="00C022E3" w:rsidRPr="00465F10" w:rsidRDefault="00C022E3">
      <w:pPr>
        <w:keepNext/>
        <w:tabs>
          <w:tab w:val="left" w:pos="2127"/>
        </w:tabs>
        <w:spacing w:after="0"/>
        <w:ind w:left="2126" w:hanging="2126"/>
        <w:outlineLvl w:val="0"/>
        <w:rPr>
          <w:rFonts w:ascii="Arial" w:hAnsi="Arial"/>
          <w:b/>
        </w:rPr>
      </w:pPr>
      <w:r w:rsidRPr="00465F10">
        <w:rPr>
          <w:rFonts w:ascii="Arial" w:hAnsi="Arial" w:cs="Arial"/>
          <w:b/>
        </w:rPr>
        <w:t>Title:</w:t>
      </w:r>
      <w:r w:rsidRPr="00465F10">
        <w:rPr>
          <w:rFonts w:ascii="Arial" w:hAnsi="Arial" w:cs="Arial"/>
          <w:b/>
        </w:rPr>
        <w:tab/>
      </w:r>
      <w:r w:rsidR="0094292E" w:rsidRPr="0094292E">
        <w:rPr>
          <w:rFonts w:ascii="Arial" w:hAnsi="Arial" w:cs="Arial"/>
          <w:b/>
        </w:rPr>
        <w:t>DP Use of QBC and FBC</w:t>
      </w:r>
    </w:p>
    <w:p w14:paraId="40E9A08C" w14:textId="0555803B" w:rsidR="00C022E3" w:rsidRPr="00465F10" w:rsidRDefault="00C022E3">
      <w:pPr>
        <w:keepNext/>
        <w:tabs>
          <w:tab w:val="left" w:pos="2127"/>
        </w:tabs>
        <w:spacing w:after="0"/>
        <w:ind w:left="2126" w:hanging="2126"/>
        <w:outlineLvl w:val="0"/>
        <w:rPr>
          <w:rFonts w:ascii="Arial" w:hAnsi="Arial"/>
          <w:b/>
          <w:lang w:eastAsia="zh-CN"/>
        </w:rPr>
      </w:pPr>
      <w:r w:rsidRPr="00465F10">
        <w:rPr>
          <w:rFonts w:ascii="Arial" w:hAnsi="Arial"/>
          <w:b/>
        </w:rPr>
        <w:t>Document for:</w:t>
      </w:r>
      <w:r w:rsidRPr="00465F10">
        <w:rPr>
          <w:rFonts w:ascii="Arial" w:hAnsi="Arial"/>
          <w:b/>
        </w:rPr>
        <w:tab/>
      </w:r>
      <w:r w:rsidRPr="00465F10">
        <w:rPr>
          <w:rFonts w:ascii="Arial" w:hAnsi="Arial"/>
          <w:b/>
          <w:lang w:eastAsia="zh-CN"/>
        </w:rPr>
        <w:t>Discussion</w:t>
      </w:r>
    </w:p>
    <w:p w14:paraId="5DC0E1E4" w14:textId="146AB7C9" w:rsidR="00C022E3" w:rsidRPr="00465F10" w:rsidRDefault="00C022E3">
      <w:pPr>
        <w:keepNext/>
        <w:pBdr>
          <w:bottom w:val="single" w:sz="4" w:space="1" w:color="auto"/>
        </w:pBdr>
        <w:tabs>
          <w:tab w:val="left" w:pos="2127"/>
        </w:tabs>
        <w:spacing w:after="0"/>
        <w:ind w:left="2126" w:hanging="2126"/>
        <w:rPr>
          <w:rFonts w:ascii="Arial" w:hAnsi="Arial"/>
          <w:b/>
          <w:lang w:eastAsia="zh-CN"/>
        </w:rPr>
      </w:pPr>
      <w:r w:rsidRPr="00465F10">
        <w:rPr>
          <w:rFonts w:ascii="Arial" w:hAnsi="Arial"/>
          <w:b/>
        </w:rPr>
        <w:t>Agenda Item:</w:t>
      </w:r>
      <w:r w:rsidRPr="00465F10">
        <w:rPr>
          <w:rFonts w:ascii="Arial" w:hAnsi="Arial"/>
          <w:b/>
        </w:rPr>
        <w:tab/>
      </w:r>
      <w:r w:rsidR="003C4BC5">
        <w:rPr>
          <w:rFonts w:ascii="Arial" w:hAnsi="Arial"/>
          <w:b/>
        </w:rPr>
        <w:t>7.3</w:t>
      </w:r>
    </w:p>
    <w:p w14:paraId="4BA6C929" w14:textId="77777777" w:rsidR="00C022E3" w:rsidRPr="00465F10" w:rsidRDefault="00C022E3">
      <w:pPr>
        <w:pStyle w:val="Heading1"/>
      </w:pPr>
      <w:r w:rsidRPr="00465F10">
        <w:t>1</w:t>
      </w:r>
      <w:r w:rsidRPr="00465F10">
        <w:tab/>
        <w:t>Decision/action requested</w:t>
      </w:r>
    </w:p>
    <w:p w14:paraId="588001DC" w14:textId="325A0C97" w:rsidR="00C022E3" w:rsidRPr="00465F10" w:rsidRDefault="00B318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Cs/>
        </w:rPr>
        <w:t>Agree on a way forward for QBC and FBC usage</w:t>
      </w:r>
      <w:r w:rsidR="00C022E3" w:rsidRPr="00465F10">
        <w:rPr>
          <w:b/>
          <w:i/>
        </w:rPr>
        <w:t>.</w:t>
      </w:r>
    </w:p>
    <w:p w14:paraId="41D43834" w14:textId="77777777" w:rsidR="00C022E3" w:rsidRPr="00465F10" w:rsidRDefault="00C022E3">
      <w:pPr>
        <w:pStyle w:val="Heading1"/>
      </w:pPr>
      <w:r w:rsidRPr="00465F10">
        <w:t>2</w:t>
      </w:r>
      <w:r w:rsidRPr="00465F10">
        <w:tab/>
        <w:t>References</w:t>
      </w:r>
    </w:p>
    <w:p w14:paraId="0268F165" w14:textId="3D4E2469" w:rsidR="00C022E3" w:rsidRPr="003B1A21" w:rsidRDefault="00C022E3">
      <w:pPr>
        <w:pStyle w:val="Reference"/>
      </w:pPr>
      <w:r w:rsidRPr="003B1A21">
        <w:t>[1]</w:t>
      </w:r>
      <w:r w:rsidRPr="003B1A21">
        <w:tab/>
        <w:t>3GPP TS 32.</w:t>
      </w:r>
      <w:r w:rsidR="003B1A21">
        <w:t>255</w:t>
      </w:r>
      <w:r w:rsidRPr="003B1A21">
        <w:t xml:space="preserve"> </w:t>
      </w:r>
    </w:p>
    <w:p w14:paraId="32BD923A" w14:textId="5915C886" w:rsidR="00C022E3" w:rsidRDefault="00C022E3">
      <w:pPr>
        <w:pStyle w:val="Heading1"/>
      </w:pPr>
      <w:r w:rsidRPr="00465F10">
        <w:t>3</w:t>
      </w:r>
      <w:r w:rsidRPr="00465F10">
        <w:tab/>
        <w:t>Rationale</w:t>
      </w:r>
    </w:p>
    <w:p w14:paraId="33BAA6A1" w14:textId="2B4EE918" w:rsidR="00D40ACC" w:rsidRPr="00D40ACC" w:rsidRDefault="001B3B3F" w:rsidP="001B3B3F">
      <w:pPr>
        <w:pStyle w:val="Heading2"/>
      </w:pPr>
      <w:r>
        <w:t>3.1</w:t>
      </w:r>
      <w:r>
        <w:tab/>
        <w:t>Background</w:t>
      </w:r>
    </w:p>
    <w:p w14:paraId="5D37AACA" w14:textId="5CDA7D49" w:rsidR="00C022E3" w:rsidRDefault="00444552">
      <w:pPr>
        <w:rPr>
          <w:iCs/>
        </w:rPr>
      </w:pPr>
      <w:r w:rsidRPr="00465F10">
        <w:rPr>
          <w:iCs/>
        </w:rPr>
        <w:t xml:space="preserve">The </w:t>
      </w:r>
      <w:r w:rsidR="00465F10">
        <w:rPr>
          <w:iCs/>
        </w:rPr>
        <w:t>current TS 32.255</w:t>
      </w:r>
      <w:r w:rsidR="003B1A21">
        <w:rPr>
          <w:iCs/>
        </w:rPr>
        <w:t xml:space="preserve"> </w:t>
      </w:r>
      <w:r w:rsidR="00DB4390">
        <w:rPr>
          <w:iCs/>
        </w:rPr>
        <w:t>[1</w:t>
      </w:r>
      <w:r w:rsidR="00D40ACC">
        <w:rPr>
          <w:iCs/>
        </w:rPr>
        <w:t>] is</w:t>
      </w:r>
      <w:r w:rsidR="00465F10">
        <w:rPr>
          <w:iCs/>
        </w:rPr>
        <w:t xml:space="preserve"> unclear as to how the QBC and FBC can be supported in the </w:t>
      </w:r>
      <w:r w:rsidR="00FF69B9">
        <w:rPr>
          <w:iCs/>
        </w:rPr>
        <w:t>different scenarios.</w:t>
      </w:r>
    </w:p>
    <w:p w14:paraId="2522A4FC" w14:textId="655587FC" w:rsidR="00FF69B9" w:rsidRPr="00F97365" w:rsidRDefault="00863DF3">
      <w:pPr>
        <w:rPr>
          <w:lang w:bidi="ar-IQ"/>
        </w:rPr>
      </w:pPr>
      <w:r>
        <w:rPr>
          <w:iCs/>
        </w:rPr>
        <w:t>In clause 5</w:t>
      </w:r>
      <w:r w:rsidR="00276677">
        <w:rPr>
          <w:iCs/>
        </w:rPr>
        <w:t>.2.1.</w:t>
      </w:r>
      <w:r w:rsidR="00583F8D">
        <w:rPr>
          <w:iCs/>
        </w:rPr>
        <w:t>6</w:t>
      </w:r>
      <w:r w:rsidR="00687CA1">
        <w:rPr>
          <w:iCs/>
        </w:rPr>
        <w:t xml:space="preserve"> it is stated</w:t>
      </w:r>
      <w:r w:rsidR="00583F8D">
        <w:rPr>
          <w:iCs/>
        </w:rPr>
        <w:t xml:space="preserve">: </w:t>
      </w:r>
      <w:r w:rsidR="00276677">
        <w:rPr>
          <w:iCs/>
        </w:rPr>
        <w:t>“</w:t>
      </w:r>
      <w:r w:rsidR="00583F8D" w:rsidRPr="00C53AFD">
        <w:rPr>
          <w:lang w:bidi="ar-IQ"/>
        </w:rPr>
        <w:t xml:space="preserve">For a given PDU session, </w:t>
      </w:r>
      <w:r w:rsidR="00583F8D">
        <w:rPr>
          <w:lang w:bidi="ar-IQ"/>
        </w:rPr>
        <w:t>QBC</w:t>
      </w:r>
      <w:r w:rsidR="00583F8D" w:rsidRPr="00C53AFD">
        <w:rPr>
          <w:lang w:bidi="ar-IQ"/>
        </w:rPr>
        <w:t xml:space="preserve"> shall be performed by the SMF </w:t>
      </w:r>
      <w:r w:rsidR="00583F8D">
        <w:rPr>
          <w:lang w:bidi="ar-IQ"/>
        </w:rPr>
        <w:t>within the same</w:t>
      </w:r>
      <w:r w:rsidR="00583F8D" w:rsidRPr="0015394E">
        <w:rPr>
          <w:lang w:bidi="ar-IQ"/>
        </w:rPr>
        <w:t xml:space="preserve"> charging session </w:t>
      </w:r>
      <w:r w:rsidR="00583F8D" w:rsidRPr="0015394E">
        <w:t>used for Flow Based Charging.</w:t>
      </w:r>
      <w:r w:rsidR="00583F8D" w:rsidRPr="001A75A8">
        <w:t xml:space="preserve"> </w:t>
      </w:r>
      <w:r w:rsidR="00583F8D">
        <w:t xml:space="preserve">For the case where QBC is performed from SMF in VPLMN, Flow Based Charging is not applicable and there is no possibility to have quota management for the PDU Session. </w:t>
      </w:r>
      <w:r w:rsidR="00583F8D">
        <w:rPr>
          <w:rFonts w:eastAsia="DengXian"/>
        </w:rPr>
        <w:t>For the case where QBC is performed from SMF in HPLMN,</w:t>
      </w:r>
      <w:r w:rsidR="00583F8D">
        <w:rPr>
          <w:rFonts w:eastAsia="DengXian"/>
          <w:lang w:eastAsia="zh-CN"/>
        </w:rPr>
        <w:t xml:space="preserve"> FBC can be performed or not performed at the same time according to operator's </w:t>
      </w:r>
      <w:r w:rsidR="00687CA1">
        <w:rPr>
          <w:rFonts w:eastAsia="DengXian"/>
          <w:lang w:eastAsia="zh-CN"/>
        </w:rPr>
        <w:t>policy.</w:t>
      </w:r>
      <w:r w:rsidR="00687CA1">
        <w:rPr>
          <w:lang w:val="en-US" w:eastAsia="zh-CN" w:bidi="ar-IQ"/>
        </w:rPr>
        <w:t xml:space="preserve"> “</w:t>
      </w:r>
    </w:p>
    <w:p w14:paraId="17329CF4" w14:textId="611C9F4A" w:rsidR="005E1B58" w:rsidRDefault="00687CA1" w:rsidP="005E1B58">
      <w:pPr>
        <w:rPr>
          <w:iCs/>
        </w:rPr>
      </w:pPr>
      <w:r>
        <w:rPr>
          <w:iCs/>
        </w:rPr>
        <w:t>In clause 5.2.</w:t>
      </w:r>
      <w:r w:rsidR="005E1B58">
        <w:rPr>
          <w:iCs/>
        </w:rPr>
        <w:t>2.</w:t>
      </w:r>
      <w:r>
        <w:rPr>
          <w:iCs/>
        </w:rPr>
        <w:t>1</w:t>
      </w:r>
      <w:r w:rsidR="005E1B58">
        <w:rPr>
          <w:iCs/>
        </w:rPr>
        <w:t>8</w:t>
      </w:r>
      <w:r>
        <w:rPr>
          <w:iCs/>
        </w:rPr>
        <w:t>.</w:t>
      </w:r>
      <w:r w:rsidR="005E1B58">
        <w:rPr>
          <w:iCs/>
        </w:rPr>
        <w:t>2</w:t>
      </w:r>
      <w:r>
        <w:rPr>
          <w:iCs/>
        </w:rPr>
        <w:t xml:space="preserve"> it is stated: “</w:t>
      </w:r>
      <w:r w:rsidR="005E1B58" w:rsidRPr="005E1B58">
        <w:rPr>
          <w:iCs/>
        </w:rPr>
        <w:t>10ch-a1. The Charging Data Request [Update] is sent to V-CHF with QBC and/or FBC information, when enabled triggers are met, optionally including the new "Roaming Charging Profile".</w:t>
      </w:r>
      <w:r w:rsidR="005E1B58">
        <w:rPr>
          <w:iCs/>
        </w:rPr>
        <w:t>”</w:t>
      </w:r>
      <w:r w:rsidR="00776A80">
        <w:rPr>
          <w:iCs/>
        </w:rPr>
        <w:t xml:space="preserve"> and </w:t>
      </w:r>
      <w:r w:rsidR="005E1B58">
        <w:rPr>
          <w:iCs/>
        </w:rPr>
        <w:t>“</w:t>
      </w:r>
      <w:r w:rsidR="00060FD8" w:rsidRPr="00060FD8">
        <w:rPr>
          <w:iCs/>
        </w:rPr>
        <w:t>10ch-a2. If a H-CHF was selected a Charging Data Request [Update] is sent to H-CHF with QBC and/or FBC information, when enabled triggers are met, for FBC it may include a request for quota.</w:t>
      </w:r>
      <w:r w:rsidR="005E1B58">
        <w:rPr>
          <w:iCs/>
        </w:rPr>
        <w:t>”</w:t>
      </w:r>
    </w:p>
    <w:p w14:paraId="7E86C2F1" w14:textId="4C9863FB" w:rsidR="005E1B58" w:rsidRDefault="00776A80">
      <w:pPr>
        <w:rPr>
          <w:iCs/>
        </w:rPr>
      </w:pPr>
      <w:r>
        <w:rPr>
          <w:iCs/>
        </w:rPr>
        <w:t>In clause 5.2.2.18.</w:t>
      </w:r>
      <w:r w:rsidR="00FE247C">
        <w:rPr>
          <w:iCs/>
        </w:rPr>
        <w:t>3</w:t>
      </w:r>
      <w:r>
        <w:rPr>
          <w:iCs/>
        </w:rPr>
        <w:t xml:space="preserve"> it is stated: “</w:t>
      </w:r>
      <w:r w:rsidR="000578BE" w:rsidRPr="000578BE">
        <w:rPr>
          <w:iCs/>
        </w:rPr>
        <w:t>2ch-a1. The Charging Data Request [Update] is sent to V-CHF for reporting the QBC and/</w:t>
      </w:r>
      <w:r w:rsidR="00D40ACC" w:rsidRPr="000578BE">
        <w:rPr>
          <w:iCs/>
        </w:rPr>
        <w:t>or FBC</w:t>
      </w:r>
      <w:r w:rsidR="000578BE" w:rsidRPr="000578BE">
        <w:rPr>
          <w:iCs/>
        </w:rPr>
        <w:t xml:space="preserve"> information when enabled triggers are met.</w:t>
      </w:r>
      <w:r w:rsidR="000578BE">
        <w:rPr>
          <w:iCs/>
        </w:rPr>
        <w:t xml:space="preserve">” and </w:t>
      </w:r>
      <w:r w:rsidR="00FE247C">
        <w:rPr>
          <w:iCs/>
        </w:rPr>
        <w:t>“</w:t>
      </w:r>
      <w:r w:rsidR="00FE247C" w:rsidRPr="00FE247C">
        <w:rPr>
          <w:iCs/>
        </w:rPr>
        <w:t>2ch-a2. If a H-CHF was selected a Charging Data Request [Update] is sent to H-CHF with QBC and/or FBC information, when the enabled triggers are met, and for FBC it may include a request for quota.</w:t>
      </w:r>
      <w:r w:rsidR="00FE247C">
        <w:rPr>
          <w:iCs/>
        </w:rPr>
        <w:t>”</w:t>
      </w:r>
    </w:p>
    <w:p w14:paraId="385CE2B0" w14:textId="4C97E555" w:rsidR="005C62F4" w:rsidRDefault="005C62F4">
      <w:pPr>
        <w:rPr>
          <w:iCs/>
        </w:rPr>
      </w:pPr>
      <w:r>
        <w:rPr>
          <w:iCs/>
        </w:rPr>
        <w:t>In clause 5.</w:t>
      </w:r>
      <w:r w:rsidR="008A4682">
        <w:rPr>
          <w:iCs/>
        </w:rPr>
        <w:t>3</w:t>
      </w:r>
      <w:r>
        <w:rPr>
          <w:iCs/>
        </w:rPr>
        <w:t>.</w:t>
      </w:r>
      <w:r w:rsidR="008A4682">
        <w:rPr>
          <w:iCs/>
        </w:rPr>
        <w:t>3</w:t>
      </w:r>
      <w:r>
        <w:rPr>
          <w:iCs/>
        </w:rPr>
        <w:t>.1 it is stated: “</w:t>
      </w:r>
      <w:r w:rsidRPr="005C62F4">
        <w:rPr>
          <w:iCs/>
        </w:rPr>
        <w:t>A Roaming QBC CHF CDR is used to collect charging information related to Roaming QBC in V-SMF, and the PDU session charging CHF CDR is used to collect charging information related to Roaming QBC in H-SMF. QoS flow containers per PDU session can be added in the CHF CDRs by the CHF, upon receiving a Charging Data Request.</w:t>
      </w:r>
      <w:r w:rsidR="008A4682">
        <w:rPr>
          <w:iCs/>
        </w:rPr>
        <w:t>”</w:t>
      </w:r>
    </w:p>
    <w:p w14:paraId="7A45DEB8" w14:textId="69D88921" w:rsidR="008A4682" w:rsidRDefault="00932ACE">
      <w:pPr>
        <w:rPr>
          <w:iCs/>
        </w:rPr>
      </w:pPr>
      <w:r>
        <w:rPr>
          <w:iCs/>
        </w:rPr>
        <w:t xml:space="preserve">In clause </w:t>
      </w:r>
      <w:r w:rsidR="00266B13">
        <w:rPr>
          <w:iCs/>
        </w:rPr>
        <w:t>6</w:t>
      </w:r>
      <w:r>
        <w:rPr>
          <w:iCs/>
        </w:rPr>
        <w:t>.</w:t>
      </w:r>
      <w:r w:rsidR="00266B13">
        <w:rPr>
          <w:iCs/>
        </w:rPr>
        <w:t>1.</w:t>
      </w:r>
      <w:r>
        <w:rPr>
          <w:iCs/>
        </w:rPr>
        <w:t>3.</w:t>
      </w:r>
      <w:r w:rsidR="00266B13">
        <w:rPr>
          <w:iCs/>
        </w:rPr>
        <w:t>2</w:t>
      </w:r>
      <w:r>
        <w:rPr>
          <w:iCs/>
        </w:rPr>
        <w:t xml:space="preserve"> it is stated: “</w:t>
      </w:r>
      <w:r w:rsidRPr="00932ACE">
        <w:rPr>
          <w:iCs/>
        </w:rPr>
        <w:t xml:space="preserve">If enabled, CHF CDRs for PDU session charging shall be produced for each PDU session. In roaming Home routed scenario, the PDU session charging CHF CDR shall cover both Flow based Charging and </w:t>
      </w:r>
      <w:proofErr w:type="spellStart"/>
      <w:r w:rsidRPr="00932ACE">
        <w:rPr>
          <w:iCs/>
        </w:rPr>
        <w:t>Qos</w:t>
      </w:r>
      <w:proofErr w:type="spellEnd"/>
      <w:r w:rsidRPr="00932ACE">
        <w:rPr>
          <w:iCs/>
        </w:rPr>
        <w:t xml:space="preserve"> flow Based Charging (QBC) from H-SMF.</w:t>
      </w:r>
      <w:r w:rsidR="00266B13">
        <w:rPr>
          <w:iCs/>
        </w:rPr>
        <w:t>”</w:t>
      </w:r>
    </w:p>
    <w:p w14:paraId="3311A835" w14:textId="77522B22" w:rsidR="000416B6" w:rsidRDefault="000416B6" w:rsidP="000416B6">
      <w:pPr>
        <w:pStyle w:val="Heading2"/>
      </w:pPr>
      <w:r>
        <w:t>3.2 Evaluation</w:t>
      </w:r>
    </w:p>
    <w:p w14:paraId="29B94475" w14:textId="51DFEAC2" w:rsidR="00266B13" w:rsidRDefault="00CB2DD2">
      <w:pPr>
        <w:rPr>
          <w:iCs/>
        </w:rPr>
      </w:pPr>
      <w:r>
        <w:rPr>
          <w:iCs/>
        </w:rPr>
        <w:t>The</w:t>
      </w:r>
      <w:r w:rsidR="00C56FF1">
        <w:rPr>
          <w:iCs/>
        </w:rPr>
        <w:t xml:space="preserve"> clause</w:t>
      </w:r>
      <w:r w:rsidR="00081457">
        <w:rPr>
          <w:iCs/>
        </w:rPr>
        <w:t>s</w:t>
      </w:r>
      <w:r w:rsidR="00C56FF1">
        <w:rPr>
          <w:iCs/>
        </w:rPr>
        <w:t xml:space="preserve"> 5.2.1.6</w:t>
      </w:r>
      <w:r w:rsidR="00081457">
        <w:rPr>
          <w:iCs/>
        </w:rPr>
        <w:t xml:space="preserve"> and 5.3.3.1</w:t>
      </w:r>
      <w:r w:rsidR="00C56FF1">
        <w:rPr>
          <w:iCs/>
        </w:rPr>
        <w:t xml:space="preserve"> </w:t>
      </w:r>
      <w:r w:rsidR="00081457">
        <w:rPr>
          <w:iCs/>
        </w:rPr>
        <w:t xml:space="preserve">implies that only QBC is </w:t>
      </w:r>
      <w:r>
        <w:rPr>
          <w:iCs/>
        </w:rPr>
        <w:t xml:space="preserve">applicable in VPLMN and that </w:t>
      </w:r>
      <w:r w:rsidR="0016500B">
        <w:rPr>
          <w:iCs/>
        </w:rPr>
        <w:t>FBC is not applicable in VPLMN</w:t>
      </w:r>
      <w:r w:rsidR="006C1AD5">
        <w:rPr>
          <w:iCs/>
        </w:rPr>
        <w:t>, this is contradicted by the clauses 5.2.2.18.2 a</w:t>
      </w:r>
      <w:r w:rsidR="00953DE8">
        <w:rPr>
          <w:iCs/>
        </w:rPr>
        <w:t>nd 5.2.2.18.3 which states that QBC and/or FBC can be used towards the V-CHF.</w:t>
      </w:r>
    </w:p>
    <w:p w14:paraId="4507A118" w14:textId="11F757FF" w:rsidR="0001033B" w:rsidRDefault="00FE05E5" w:rsidP="0001033B">
      <w:r>
        <w:rPr>
          <w:iCs/>
        </w:rPr>
        <w:t xml:space="preserve">The main use case for QBC is to generate interconnect charges, this means that it </w:t>
      </w:r>
      <w:r w:rsidR="00722715">
        <w:rPr>
          <w:iCs/>
        </w:rPr>
        <w:t xml:space="preserve">needs to be possible to use it </w:t>
      </w:r>
      <w:r w:rsidR="00F0245B">
        <w:rPr>
          <w:iCs/>
        </w:rPr>
        <w:t xml:space="preserve">in VPLMN i.e., </w:t>
      </w:r>
      <w:r w:rsidR="00722715">
        <w:rPr>
          <w:iCs/>
        </w:rPr>
        <w:t xml:space="preserve">between V-SMF and V-CHF. </w:t>
      </w:r>
      <w:r w:rsidR="00F0245B">
        <w:rPr>
          <w:iCs/>
        </w:rPr>
        <w:t xml:space="preserve">FBC is the standard </w:t>
      </w:r>
      <w:r w:rsidR="00C24FC5">
        <w:rPr>
          <w:iCs/>
        </w:rPr>
        <w:t>way of handling 5G data connectivity charging for end user meaning that it is needed in the HPLMN</w:t>
      </w:r>
      <w:r w:rsidR="00A064E0">
        <w:rPr>
          <w:iCs/>
        </w:rPr>
        <w:t xml:space="preserve"> i.e., between H-SMF and H-CHF. For local breakout the </w:t>
      </w:r>
      <w:r w:rsidR="0001033B">
        <w:rPr>
          <w:iCs/>
        </w:rPr>
        <w:t xml:space="preserve">V-SMF </w:t>
      </w:r>
      <w:r w:rsidR="00A064E0">
        <w:rPr>
          <w:iCs/>
        </w:rPr>
        <w:t xml:space="preserve">will handle the retail charging </w:t>
      </w:r>
      <w:r w:rsidR="007216C8">
        <w:rPr>
          <w:iCs/>
        </w:rPr>
        <w:t xml:space="preserve">towards the HPLMN meaning it </w:t>
      </w:r>
      <w:r w:rsidR="0001033B">
        <w:rPr>
          <w:iCs/>
        </w:rPr>
        <w:t xml:space="preserve">must support </w:t>
      </w:r>
      <w:r w:rsidR="0001033B">
        <w:t xml:space="preserve">FBC </w:t>
      </w:r>
      <w:r w:rsidR="007216C8">
        <w:t xml:space="preserve">i.e., </w:t>
      </w:r>
      <w:r w:rsidR="00A735C4">
        <w:t>between V-SMF and H-CHF</w:t>
      </w:r>
      <w:r w:rsidR="0001033B">
        <w:t>.</w:t>
      </w:r>
    </w:p>
    <w:p w14:paraId="7236971E" w14:textId="29218A62" w:rsidR="003934F6" w:rsidRDefault="00A735C4">
      <w:pPr>
        <w:rPr>
          <w:iCs/>
        </w:rPr>
      </w:pPr>
      <w:r>
        <w:t>Based on th</w:t>
      </w:r>
      <w:r w:rsidR="00D352C9">
        <w:t>is</w:t>
      </w:r>
      <w:r w:rsidR="00D352C9">
        <w:rPr>
          <w:iCs/>
        </w:rPr>
        <w:t xml:space="preserve"> t</w:t>
      </w:r>
      <w:r w:rsidR="003934F6">
        <w:rPr>
          <w:iCs/>
        </w:rPr>
        <w:t xml:space="preserve">here are basically </w:t>
      </w:r>
      <w:r w:rsidR="00BD27F7">
        <w:rPr>
          <w:iCs/>
        </w:rPr>
        <w:t>three</w:t>
      </w:r>
      <w:r w:rsidR="003934F6">
        <w:rPr>
          <w:iCs/>
        </w:rPr>
        <w:t xml:space="preserve"> options</w:t>
      </w:r>
      <w:r w:rsidR="00BD27F7">
        <w:rPr>
          <w:iCs/>
        </w:rPr>
        <w:t xml:space="preserve"> for the CHF</w:t>
      </w:r>
      <w:r w:rsidR="003934F6">
        <w:rPr>
          <w:iCs/>
        </w:rPr>
        <w:t>:</w:t>
      </w:r>
    </w:p>
    <w:p w14:paraId="2B36F59E" w14:textId="7E8AA619" w:rsidR="00C356D9" w:rsidRPr="00F52DEF" w:rsidRDefault="00C356D9" w:rsidP="00C356D9">
      <w:pPr>
        <w:pStyle w:val="B1"/>
      </w:pPr>
      <w:r>
        <w:t>-</w:t>
      </w:r>
      <w:r>
        <w:tab/>
        <w:t xml:space="preserve">Allow </w:t>
      </w:r>
      <w:r w:rsidR="005252C4">
        <w:t xml:space="preserve">FBC and/or QBC towards both </w:t>
      </w:r>
      <w:r w:rsidR="001D2284">
        <w:t>V</w:t>
      </w:r>
      <w:r w:rsidR="005252C4">
        <w:t xml:space="preserve">-CHF and </w:t>
      </w:r>
      <w:r w:rsidR="001D2284">
        <w:t>H</w:t>
      </w:r>
      <w:r w:rsidR="005252C4">
        <w:t>-CHF</w:t>
      </w:r>
    </w:p>
    <w:p w14:paraId="7679883C" w14:textId="70B93CD7" w:rsidR="00C356D9" w:rsidRPr="00F52DEF" w:rsidRDefault="00C356D9" w:rsidP="00C356D9">
      <w:pPr>
        <w:pStyle w:val="B1"/>
      </w:pPr>
      <w:r>
        <w:lastRenderedPageBreak/>
        <w:t>-</w:t>
      </w:r>
      <w:r>
        <w:tab/>
      </w:r>
      <w:r w:rsidR="005252C4">
        <w:t>Allow QBC towards V-CHF and FBC and/or QBC towards H-CHF</w:t>
      </w:r>
    </w:p>
    <w:p w14:paraId="2F6C5DD5" w14:textId="205D3EC8" w:rsidR="00C356D9" w:rsidRDefault="00C356D9" w:rsidP="00C356D9">
      <w:pPr>
        <w:pStyle w:val="B1"/>
      </w:pPr>
      <w:r>
        <w:t>-</w:t>
      </w:r>
      <w:r>
        <w:tab/>
      </w:r>
      <w:r w:rsidR="00453D06">
        <w:t>Allow QBC towards V-CHF and FBC towards H-CHF</w:t>
      </w:r>
    </w:p>
    <w:p w14:paraId="6D0A0FAC" w14:textId="319DCC6F" w:rsidR="00C6219A" w:rsidRDefault="00C6219A" w:rsidP="00C6219A">
      <w:pPr>
        <w:rPr>
          <w:iCs/>
        </w:rPr>
      </w:pPr>
      <w:r>
        <w:t>F</w:t>
      </w:r>
      <w:r>
        <w:rPr>
          <w:iCs/>
        </w:rPr>
        <w:t>or the SMF there are</w:t>
      </w:r>
      <w:r w:rsidR="0027019B">
        <w:rPr>
          <w:iCs/>
        </w:rPr>
        <w:t xml:space="preserve"> two </w:t>
      </w:r>
      <w:r w:rsidR="00B31486">
        <w:rPr>
          <w:iCs/>
        </w:rPr>
        <w:t>options</w:t>
      </w:r>
      <w:r>
        <w:rPr>
          <w:iCs/>
        </w:rPr>
        <w:t>:</w:t>
      </w:r>
    </w:p>
    <w:p w14:paraId="3608253B" w14:textId="54CC57A9" w:rsidR="00C6219A" w:rsidRPr="00F52DEF" w:rsidRDefault="00C6219A" w:rsidP="00C6219A">
      <w:pPr>
        <w:pStyle w:val="B1"/>
      </w:pPr>
      <w:r>
        <w:t>-</w:t>
      </w:r>
      <w:r>
        <w:tab/>
        <w:t xml:space="preserve">Allow FBC and/or QBC from both </w:t>
      </w:r>
      <w:r w:rsidR="001D2284">
        <w:t>V</w:t>
      </w:r>
      <w:r>
        <w:t>-</w:t>
      </w:r>
      <w:r w:rsidR="00774D55">
        <w:t>SM</w:t>
      </w:r>
      <w:r>
        <w:t xml:space="preserve">F and </w:t>
      </w:r>
      <w:r w:rsidR="001D2284">
        <w:t>H</w:t>
      </w:r>
      <w:r>
        <w:t>-</w:t>
      </w:r>
      <w:r w:rsidR="00774D55">
        <w:t>SM</w:t>
      </w:r>
      <w:r>
        <w:t>F</w:t>
      </w:r>
    </w:p>
    <w:p w14:paraId="71892A10" w14:textId="61DCA700" w:rsidR="00C6219A" w:rsidRDefault="00C6219A" w:rsidP="00C6219A">
      <w:pPr>
        <w:pStyle w:val="B1"/>
      </w:pPr>
      <w:r>
        <w:t>-</w:t>
      </w:r>
      <w:r>
        <w:tab/>
        <w:t xml:space="preserve">Allow </w:t>
      </w:r>
      <w:r w:rsidR="0027019B">
        <w:t xml:space="preserve">FBC and/or QBC </w:t>
      </w:r>
      <w:r w:rsidR="00774D55">
        <w:t>from</w:t>
      </w:r>
      <w:r>
        <w:t xml:space="preserve"> V-</w:t>
      </w:r>
      <w:r w:rsidR="00774D55">
        <w:t>SM</w:t>
      </w:r>
      <w:r>
        <w:t xml:space="preserve">F and FBC </w:t>
      </w:r>
      <w:r w:rsidR="00774D55">
        <w:t>from</w:t>
      </w:r>
      <w:r>
        <w:t xml:space="preserve"> </w:t>
      </w:r>
      <w:r w:rsidR="001D2284">
        <w:t>H</w:t>
      </w:r>
      <w:r>
        <w:t>-</w:t>
      </w:r>
      <w:r w:rsidR="001D2284">
        <w:t>SM</w:t>
      </w:r>
      <w:r>
        <w:t>F</w:t>
      </w:r>
    </w:p>
    <w:p w14:paraId="47FC2C46" w14:textId="2C1C64D2" w:rsidR="009E7C72" w:rsidRDefault="00A63980">
      <w:pPr>
        <w:rPr>
          <w:iCs/>
        </w:rPr>
      </w:pPr>
      <w:r>
        <w:rPr>
          <w:iCs/>
        </w:rPr>
        <w:t xml:space="preserve">The QBC in HPLMN could be used for reconciliation, meaning that removing the possibility to </w:t>
      </w:r>
      <w:r w:rsidR="006E0F67">
        <w:rPr>
          <w:iCs/>
        </w:rPr>
        <w:t xml:space="preserve">not allow QBC from H-SMF or to H-CHF would limit this possibility. </w:t>
      </w:r>
      <w:r w:rsidR="003819F2">
        <w:rPr>
          <w:iCs/>
        </w:rPr>
        <w:t xml:space="preserve">From this </w:t>
      </w:r>
      <w:r w:rsidR="009667AA">
        <w:rPr>
          <w:iCs/>
        </w:rPr>
        <w:t>only</w:t>
      </w:r>
      <w:r w:rsidR="009540D9">
        <w:rPr>
          <w:iCs/>
        </w:rPr>
        <w:t xml:space="preserve"> the</w:t>
      </w:r>
      <w:r w:rsidR="00546EC4">
        <w:rPr>
          <w:iCs/>
        </w:rPr>
        <w:t xml:space="preserve"> FBC towards </w:t>
      </w:r>
      <w:r w:rsidR="009E7C72">
        <w:rPr>
          <w:iCs/>
        </w:rPr>
        <w:t>V-CHF</w:t>
      </w:r>
      <w:r w:rsidR="009540D9">
        <w:rPr>
          <w:iCs/>
        </w:rPr>
        <w:t xml:space="preserve"> is not required</w:t>
      </w:r>
      <w:r w:rsidR="009E7C72">
        <w:rPr>
          <w:iCs/>
        </w:rPr>
        <w:t>.</w:t>
      </w:r>
      <w:r w:rsidR="009540D9">
        <w:rPr>
          <w:iCs/>
        </w:rPr>
        <w:t xml:space="preserve"> </w:t>
      </w:r>
      <w:r w:rsidR="003A5F2A">
        <w:rPr>
          <w:iCs/>
        </w:rPr>
        <w:t>However,</w:t>
      </w:r>
      <w:r w:rsidR="00DE70C9">
        <w:rPr>
          <w:iCs/>
        </w:rPr>
        <w:t xml:space="preserve"> </w:t>
      </w:r>
      <w:r w:rsidR="0045750F">
        <w:rPr>
          <w:iCs/>
        </w:rPr>
        <w:t>there is</w:t>
      </w:r>
      <w:r w:rsidR="00DE70C9">
        <w:rPr>
          <w:iCs/>
        </w:rPr>
        <w:t xml:space="preserve"> reason for limiting when FBC and QBC </w:t>
      </w:r>
      <w:r w:rsidR="00F963F5">
        <w:rPr>
          <w:iCs/>
        </w:rPr>
        <w:t>just in this case.</w:t>
      </w:r>
    </w:p>
    <w:p w14:paraId="53AFC12B" w14:textId="4BCCA7A7" w:rsidR="00D40ACC" w:rsidRDefault="000416B6" w:rsidP="000416B6">
      <w:pPr>
        <w:pStyle w:val="Heading2"/>
      </w:pPr>
      <w:r>
        <w:t xml:space="preserve">3.3 </w:t>
      </w:r>
      <w:r w:rsidR="00302B82">
        <w:t>Conclusion</w:t>
      </w:r>
    </w:p>
    <w:p w14:paraId="2A6B4674" w14:textId="1B912849" w:rsidR="00AC14F6" w:rsidRDefault="00AC14F6">
      <w:pPr>
        <w:rPr>
          <w:iCs/>
        </w:rPr>
      </w:pPr>
      <w:r>
        <w:rPr>
          <w:iCs/>
        </w:rPr>
        <w:t xml:space="preserve">There is need to have </w:t>
      </w:r>
      <w:r w:rsidR="00016013">
        <w:rPr>
          <w:iCs/>
        </w:rPr>
        <w:t>a</w:t>
      </w:r>
      <w:r>
        <w:rPr>
          <w:iCs/>
        </w:rPr>
        <w:t xml:space="preserve"> statement in the specification </w:t>
      </w:r>
      <w:r w:rsidR="00D75D92">
        <w:rPr>
          <w:iCs/>
        </w:rPr>
        <w:t xml:space="preserve">the intention with the </w:t>
      </w:r>
      <w:r>
        <w:rPr>
          <w:iCs/>
        </w:rPr>
        <w:t>QBC and FBC</w:t>
      </w:r>
      <w:r w:rsidR="00565D2E">
        <w:rPr>
          <w:iCs/>
        </w:rPr>
        <w:t xml:space="preserve"> </w:t>
      </w:r>
      <w:r w:rsidR="00910558">
        <w:rPr>
          <w:iCs/>
        </w:rPr>
        <w:t>e.g., QBC is designed for interconnect and FBC is designed for retail</w:t>
      </w:r>
      <w:r w:rsidR="00666322">
        <w:rPr>
          <w:iCs/>
        </w:rPr>
        <w:t xml:space="preserve"> charging. This means that it is recommended to use FBC</w:t>
      </w:r>
      <w:r w:rsidR="00B87552">
        <w:rPr>
          <w:iCs/>
        </w:rPr>
        <w:t>,</w:t>
      </w:r>
      <w:r w:rsidR="00666322">
        <w:rPr>
          <w:iCs/>
        </w:rPr>
        <w:t xml:space="preserve"> in </w:t>
      </w:r>
      <w:r w:rsidR="005D3375">
        <w:rPr>
          <w:iCs/>
        </w:rPr>
        <w:t xml:space="preserve">or towards </w:t>
      </w:r>
      <w:r w:rsidR="00666322">
        <w:rPr>
          <w:iCs/>
        </w:rPr>
        <w:t>HPLMN</w:t>
      </w:r>
      <w:r w:rsidR="00B87552">
        <w:rPr>
          <w:iCs/>
        </w:rPr>
        <w:t>,</w:t>
      </w:r>
      <w:r w:rsidR="00215832">
        <w:rPr>
          <w:iCs/>
        </w:rPr>
        <w:t xml:space="preserve"> </w:t>
      </w:r>
      <w:r w:rsidR="00B619EA">
        <w:rPr>
          <w:iCs/>
        </w:rPr>
        <w:t>for retail</w:t>
      </w:r>
      <w:r w:rsidR="008D0203">
        <w:rPr>
          <w:iCs/>
        </w:rPr>
        <w:t xml:space="preserve"> charging</w:t>
      </w:r>
      <w:r w:rsidR="00B619EA">
        <w:rPr>
          <w:iCs/>
        </w:rPr>
        <w:t xml:space="preserve">, while </w:t>
      </w:r>
      <w:r w:rsidR="00DE3FA7">
        <w:rPr>
          <w:iCs/>
        </w:rPr>
        <w:t xml:space="preserve">it is </w:t>
      </w:r>
      <w:r w:rsidR="006744C6">
        <w:rPr>
          <w:iCs/>
        </w:rPr>
        <w:t xml:space="preserve">recommended to use </w:t>
      </w:r>
      <w:r w:rsidR="00B619EA">
        <w:rPr>
          <w:iCs/>
        </w:rPr>
        <w:t xml:space="preserve">QBC </w:t>
      </w:r>
      <w:r w:rsidR="00801B93">
        <w:rPr>
          <w:iCs/>
        </w:rPr>
        <w:t xml:space="preserve">in </w:t>
      </w:r>
      <w:r w:rsidR="00B619EA">
        <w:rPr>
          <w:iCs/>
        </w:rPr>
        <w:t>VPLMN for interconnect</w:t>
      </w:r>
      <w:r w:rsidR="006744C6">
        <w:rPr>
          <w:iCs/>
        </w:rPr>
        <w:t xml:space="preserve"> charg</w:t>
      </w:r>
      <w:r w:rsidR="00801B93">
        <w:rPr>
          <w:iCs/>
        </w:rPr>
        <w:t>ing</w:t>
      </w:r>
      <w:r w:rsidR="001B4DF8">
        <w:rPr>
          <w:iCs/>
        </w:rPr>
        <w:t>.</w:t>
      </w:r>
      <w:r w:rsidR="00401D86">
        <w:rPr>
          <w:iCs/>
        </w:rPr>
        <w:t xml:space="preserve"> Other usage is operator dependent.</w:t>
      </w:r>
    </w:p>
    <w:p w14:paraId="3B9FFBAC" w14:textId="77777777" w:rsidR="00C022E3" w:rsidRPr="00465F10" w:rsidRDefault="00C022E3">
      <w:pPr>
        <w:pStyle w:val="Heading1"/>
      </w:pPr>
      <w:r w:rsidRPr="00465F10">
        <w:t>4</w:t>
      </w:r>
      <w:r w:rsidRPr="00465F10">
        <w:tab/>
        <w:t xml:space="preserve">Detailed </w:t>
      </w:r>
      <w:proofErr w:type="gramStart"/>
      <w:r w:rsidRPr="00465F10">
        <w:t>proposal</w:t>
      </w:r>
      <w:proofErr w:type="gramEnd"/>
    </w:p>
    <w:p w14:paraId="0386CBBB" w14:textId="2F060F08" w:rsidR="00C022E3" w:rsidRPr="00BA359E" w:rsidRDefault="004E4ED0">
      <w:pPr>
        <w:rPr>
          <w:iCs/>
        </w:rPr>
      </w:pPr>
      <w:r>
        <w:rPr>
          <w:iCs/>
        </w:rPr>
        <w:t>Update</w:t>
      </w:r>
      <w:r w:rsidR="005D4E65">
        <w:rPr>
          <w:iCs/>
        </w:rPr>
        <w:t xml:space="preserve"> TS 32.255 [1]</w:t>
      </w:r>
      <w:r w:rsidR="00BA359E" w:rsidRPr="00BA359E">
        <w:rPr>
          <w:iCs/>
        </w:rPr>
        <w:t xml:space="preserve"> </w:t>
      </w:r>
      <w:r w:rsidR="00FF1DE4">
        <w:rPr>
          <w:iCs/>
        </w:rPr>
        <w:t xml:space="preserve">according to </w:t>
      </w:r>
      <w:r w:rsidR="00BA359E" w:rsidRPr="00BA359E">
        <w:rPr>
          <w:iCs/>
        </w:rPr>
        <w:t>the recommendation in clause 3.3</w:t>
      </w:r>
      <w:r>
        <w:rPr>
          <w:iCs/>
        </w:rPr>
        <w:t xml:space="preserve">, where the usage </w:t>
      </w:r>
      <w:r w:rsidR="000F79B7">
        <w:rPr>
          <w:iCs/>
        </w:rPr>
        <w:t xml:space="preserve">of FBC and QBC </w:t>
      </w:r>
      <w:r w:rsidR="0073477B">
        <w:rPr>
          <w:iCs/>
        </w:rPr>
        <w:t>can</w:t>
      </w:r>
      <w:r>
        <w:rPr>
          <w:iCs/>
        </w:rPr>
        <w:t xml:space="preserve"> be informative</w:t>
      </w:r>
      <w:r w:rsidR="00801B93">
        <w:rPr>
          <w:iCs/>
        </w:rPr>
        <w:t>.</w:t>
      </w:r>
    </w:p>
    <w:sectPr w:rsidR="00C022E3" w:rsidRPr="00BA359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9AA49" w14:textId="77777777" w:rsidR="008473DA" w:rsidRDefault="008473DA">
      <w:r>
        <w:separator/>
      </w:r>
    </w:p>
  </w:endnote>
  <w:endnote w:type="continuationSeparator" w:id="0">
    <w:p w14:paraId="77512A4E" w14:textId="77777777" w:rsidR="008473DA" w:rsidRDefault="00847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81FC0" w14:textId="77777777" w:rsidR="008473DA" w:rsidRDefault="008473DA">
      <w:r>
        <w:separator/>
      </w:r>
    </w:p>
  </w:footnote>
  <w:footnote w:type="continuationSeparator" w:id="0">
    <w:p w14:paraId="2E198652" w14:textId="77777777" w:rsidR="008473DA" w:rsidRDefault="008473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521626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02242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3745851">
    <w:abstractNumId w:val="13"/>
  </w:num>
  <w:num w:numId="4" w16cid:durableId="732312005">
    <w:abstractNumId w:val="16"/>
  </w:num>
  <w:num w:numId="5" w16cid:durableId="444352415">
    <w:abstractNumId w:val="15"/>
  </w:num>
  <w:num w:numId="6" w16cid:durableId="1463767600">
    <w:abstractNumId w:val="11"/>
  </w:num>
  <w:num w:numId="7" w16cid:durableId="806702364">
    <w:abstractNumId w:val="12"/>
  </w:num>
  <w:num w:numId="8" w16cid:durableId="1652707026">
    <w:abstractNumId w:val="20"/>
  </w:num>
  <w:num w:numId="9" w16cid:durableId="380179311">
    <w:abstractNumId w:val="18"/>
  </w:num>
  <w:num w:numId="10" w16cid:durableId="923034587">
    <w:abstractNumId w:val="19"/>
  </w:num>
  <w:num w:numId="11" w16cid:durableId="284889872">
    <w:abstractNumId w:val="14"/>
  </w:num>
  <w:num w:numId="12" w16cid:durableId="119543790">
    <w:abstractNumId w:val="17"/>
  </w:num>
  <w:num w:numId="13" w16cid:durableId="948467057">
    <w:abstractNumId w:val="9"/>
  </w:num>
  <w:num w:numId="14" w16cid:durableId="1221405879">
    <w:abstractNumId w:val="7"/>
  </w:num>
  <w:num w:numId="15" w16cid:durableId="495995616">
    <w:abstractNumId w:val="6"/>
  </w:num>
  <w:num w:numId="16" w16cid:durableId="803276545">
    <w:abstractNumId w:val="5"/>
  </w:num>
  <w:num w:numId="17" w16cid:durableId="1648513600">
    <w:abstractNumId w:val="4"/>
  </w:num>
  <w:num w:numId="18" w16cid:durableId="515537868">
    <w:abstractNumId w:val="8"/>
  </w:num>
  <w:num w:numId="19" w16cid:durableId="408040968">
    <w:abstractNumId w:val="3"/>
  </w:num>
  <w:num w:numId="20" w16cid:durableId="18436779">
    <w:abstractNumId w:val="2"/>
  </w:num>
  <w:num w:numId="21" w16cid:durableId="673848873">
    <w:abstractNumId w:val="1"/>
  </w:num>
  <w:num w:numId="22" w16cid:durableId="9028340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033B"/>
    <w:rsid w:val="00012515"/>
    <w:rsid w:val="00016013"/>
    <w:rsid w:val="000416B6"/>
    <w:rsid w:val="00046389"/>
    <w:rsid w:val="000578BE"/>
    <w:rsid w:val="000601FF"/>
    <w:rsid w:val="00060FD8"/>
    <w:rsid w:val="00074722"/>
    <w:rsid w:val="00081457"/>
    <w:rsid w:val="000819D8"/>
    <w:rsid w:val="000934A6"/>
    <w:rsid w:val="000A2C6C"/>
    <w:rsid w:val="000A4660"/>
    <w:rsid w:val="000D1B5B"/>
    <w:rsid w:val="000F79B7"/>
    <w:rsid w:val="0010401F"/>
    <w:rsid w:val="00112FC3"/>
    <w:rsid w:val="0016500B"/>
    <w:rsid w:val="00173FA3"/>
    <w:rsid w:val="00184B6F"/>
    <w:rsid w:val="001861E5"/>
    <w:rsid w:val="001B1652"/>
    <w:rsid w:val="001B3B3F"/>
    <w:rsid w:val="001B4DF8"/>
    <w:rsid w:val="001C3EC8"/>
    <w:rsid w:val="001D2284"/>
    <w:rsid w:val="001D2BD4"/>
    <w:rsid w:val="001D4258"/>
    <w:rsid w:val="001D6911"/>
    <w:rsid w:val="00201947"/>
    <w:rsid w:val="0020395B"/>
    <w:rsid w:val="002046CB"/>
    <w:rsid w:val="00204DC9"/>
    <w:rsid w:val="002062C0"/>
    <w:rsid w:val="0021042E"/>
    <w:rsid w:val="00215130"/>
    <w:rsid w:val="00215832"/>
    <w:rsid w:val="00230002"/>
    <w:rsid w:val="00244C9A"/>
    <w:rsid w:val="00247216"/>
    <w:rsid w:val="00266700"/>
    <w:rsid w:val="00266B13"/>
    <w:rsid w:val="0027019B"/>
    <w:rsid w:val="00276677"/>
    <w:rsid w:val="002A1857"/>
    <w:rsid w:val="002C7F38"/>
    <w:rsid w:val="00302B82"/>
    <w:rsid w:val="0030628A"/>
    <w:rsid w:val="003424D0"/>
    <w:rsid w:val="0035122B"/>
    <w:rsid w:val="00353451"/>
    <w:rsid w:val="003612BE"/>
    <w:rsid w:val="00371032"/>
    <w:rsid w:val="00371B44"/>
    <w:rsid w:val="003819F2"/>
    <w:rsid w:val="003934F6"/>
    <w:rsid w:val="003A5F2A"/>
    <w:rsid w:val="003B1A21"/>
    <w:rsid w:val="003C122B"/>
    <w:rsid w:val="003C4BC5"/>
    <w:rsid w:val="003C5A97"/>
    <w:rsid w:val="003C7A04"/>
    <w:rsid w:val="003F52B2"/>
    <w:rsid w:val="00401D86"/>
    <w:rsid w:val="00440414"/>
    <w:rsid w:val="00444552"/>
    <w:rsid w:val="00453D06"/>
    <w:rsid w:val="0045417B"/>
    <w:rsid w:val="004558E9"/>
    <w:rsid w:val="0045750F"/>
    <w:rsid w:val="0045777E"/>
    <w:rsid w:val="00465F10"/>
    <w:rsid w:val="00497F27"/>
    <w:rsid w:val="004B3753"/>
    <w:rsid w:val="004C31D2"/>
    <w:rsid w:val="004D55C2"/>
    <w:rsid w:val="004E4ED0"/>
    <w:rsid w:val="00521131"/>
    <w:rsid w:val="005252C4"/>
    <w:rsid w:val="00527C0B"/>
    <w:rsid w:val="005410F6"/>
    <w:rsid w:val="00546EC4"/>
    <w:rsid w:val="00565D2E"/>
    <w:rsid w:val="005729C4"/>
    <w:rsid w:val="00583F8D"/>
    <w:rsid w:val="0059227B"/>
    <w:rsid w:val="005B0966"/>
    <w:rsid w:val="005B795D"/>
    <w:rsid w:val="005C62F4"/>
    <w:rsid w:val="005D3375"/>
    <w:rsid w:val="005D4E65"/>
    <w:rsid w:val="005E1B58"/>
    <w:rsid w:val="00610508"/>
    <w:rsid w:val="00613820"/>
    <w:rsid w:val="0061593E"/>
    <w:rsid w:val="00645C90"/>
    <w:rsid w:val="00652248"/>
    <w:rsid w:val="00657B80"/>
    <w:rsid w:val="00666322"/>
    <w:rsid w:val="006744C6"/>
    <w:rsid w:val="00675B3C"/>
    <w:rsid w:val="00687CA1"/>
    <w:rsid w:val="0069495C"/>
    <w:rsid w:val="00697FBA"/>
    <w:rsid w:val="006B77FC"/>
    <w:rsid w:val="006C1AD5"/>
    <w:rsid w:val="006D24E3"/>
    <w:rsid w:val="006D340A"/>
    <w:rsid w:val="006E0F67"/>
    <w:rsid w:val="00715A1D"/>
    <w:rsid w:val="007216C8"/>
    <w:rsid w:val="00722715"/>
    <w:rsid w:val="0073477B"/>
    <w:rsid w:val="00760BB0"/>
    <w:rsid w:val="0076157A"/>
    <w:rsid w:val="00774D55"/>
    <w:rsid w:val="00776A80"/>
    <w:rsid w:val="00784593"/>
    <w:rsid w:val="007A00EF"/>
    <w:rsid w:val="007B19EA"/>
    <w:rsid w:val="007C0158"/>
    <w:rsid w:val="007C0A2D"/>
    <w:rsid w:val="007C27B0"/>
    <w:rsid w:val="007F300B"/>
    <w:rsid w:val="008014C3"/>
    <w:rsid w:val="00801B93"/>
    <w:rsid w:val="008473DA"/>
    <w:rsid w:val="00850812"/>
    <w:rsid w:val="00863DF3"/>
    <w:rsid w:val="00876B9A"/>
    <w:rsid w:val="00886CBD"/>
    <w:rsid w:val="008933BF"/>
    <w:rsid w:val="008A10C4"/>
    <w:rsid w:val="008A4682"/>
    <w:rsid w:val="008B0248"/>
    <w:rsid w:val="008D0203"/>
    <w:rsid w:val="008D191D"/>
    <w:rsid w:val="008E4B77"/>
    <w:rsid w:val="008F5F33"/>
    <w:rsid w:val="0091046A"/>
    <w:rsid w:val="00910558"/>
    <w:rsid w:val="00926ABD"/>
    <w:rsid w:val="00932ACE"/>
    <w:rsid w:val="0094292E"/>
    <w:rsid w:val="00947F4E"/>
    <w:rsid w:val="00953DE8"/>
    <w:rsid w:val="009540D9"/>
    <w:rsid w:val="009667AA"/>
    <w:rsid w:val="00966D47"/>
    <w:rsid w:val="00992312"/>
    <w:rsid w:val="009B0A79"/>
    <w:rsid w:val="009C0DED"/>
    <w:rsid w:val="009E7C72"/>
    <w:rsid w:val="00A064E0"/>
    <w:rsid w:val="00A20ED6"/>
    <w:rsid w:val="00A37D7F"/>
    <w:rsid w:val="00A46410"/>
    <w:rsid w:val="00A57688"/>
    <w:rsid w:val="00A63980"/>
    <w:rsid w:val="00A735C4"/>
    <w:rsid w:val="00A842E9"/>
    <w:rsid w:val="00A84A94"/>
    <w:rsid w:val="00AC14F6"/>
    <w:rsid w:val="00AD1DAA"/>
    <w:rsid w:val="00AF1E23"/>
    <w:rsid w:val="00AF7F81"/>
    <w:rsid w:val="00B01AFF"/>
    <w:rsid w:val="00B05CC7"/>
    <w:rsid w:val="00B27E39"/>
    <w:rsid w:val="00B31486"/>
    <w:rsid w:val="00B31824"/>
    <w:rsid w:val="00B350D8"/>
    <w:rsid w:val="00B619EA"/>
    <w:rsid w:val="00B62A2B"/>
    <w:rsid w:val="00B76763"/>
    <w:rsid w:val="00B7732B"/>
    <w:rsid w:val="00B87552"/>
    <w:rsid w:val="00B879F0"/>
    <w:rsid w:val="00BA359E"/>
    <w:rsid w:val="00BC25AA"/>
    <w:rsid w:val="00BD27F7"/>
    <w:rsid w:val="00C022E3"/>
    <w:rsid w:val="00C168D8"/>
    <w:rsid w:val="00C22D17"/>
    <w:rsid w:val="00C24FC5"/>
    <w:rsid w:val="00C26BB2"/>
    <w:rsid w:val="00C356D9"/>
    <w:rsid w:val="00C4712D"/>
    <w:rsid w:val="00C555C9"/>
    <w:rsid w:val="00C56FF1"/>
    <w:rsid w:val="00C6219A"/>
    <w:rsid w:val="00C94F55"/>
    <w:rsid w:val="00CA7D62"/>
    <w:rsid w:val="00CB07A8"/>
    <w:rsid w:val="00CB2DD2"/>
    <w:rsid w:val="00CD4A57"/>
    <w:rsid w:val="00CF7CE3"/>
    <w:rsid w:val="00D146F1"/>
    <w:rsid w:val="00D33604"/>
    <w:rsid w:val="00D352C9"/>
    <w:rsid w:val="00D37B08"/>
    <w:rsid w:val="00D40ACC"/>
    <w:rsid w:val="00D437FF"/>
    <w:rsid w:val="00D5130C"/>
    <w:rsid w:val="00D62265"/>
    <w:rsid w:val="00D75D92"/>
    <w:rsid w:val="00D77841"/>
    <w:rsid w:val="00D83E56"/>
    <w:rsid w:val="00D8512E"/>
    <w:rsid w:val="00DA1E58"/>
    <w:rsid w:val="00DA4FE8"/>
    <w:rsid w:val="00DB4390"/>
    <w:rsid w:val="00DC1055"/>
    <w:rsid w:val="00DE3FA7"/>
    <w:rsid w:val="00DE4EF2"/>
    <w:rsid w:val="00DE70C9"/>
    <w:rsid w:val="00DF2C0E"/>
    <w:rsid w:val="00E04DB6"/>
    <w:rsid w:val="00E06FFB"/>
    <w:rsid w:val="00E30155"/>
    <w:rsid w:val="00E632EC"/>
    <w:rsid w:val="00E91FE1"/>
    <w:rsid w:val="00EA5E95"/>
    <w:rsid w:val="00ED4954"/>
    <w:rsid w:val="00ED5A43"/>
    <w:rsid w:val="00EE0943"/>
    <w:rsid w:val="00EE33A2"/>
    <w:rsid w:val="00F0245B"/>
    <w:rsid w:val="00F67A1C"/>
    <w:rsid w:val="00F82C5B"/>
    <w:rsid w:val="00F84C58"/>
    <w:rsid w:val="00F8555F"/>
    <w:rsid w:val="00F963F5"/>
    <w:rsid w:val="00F97365"/>
    <w:rsid w:val="00FB3E36"/>
    <w:rsid w:val="00FB42E2"/>
    <w:rsid w:val="00FE05E5"/>
    <w:rsid w:val="00FE247C"/>
    <w:rsid w:val="00FE6F70"/>
    <w:rsid w:val="00FF1DE4"/>
    <w:rsid w:val="00FF69B9"/>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49D4D8"/>
  <w15:chartTrackingRefBased/>
  <w15:docId w15:val="{1A3081F5-0AF9-4FAD-B0F9-B9431AE24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B1Char">
    <w:name w:val="B1 Char"/>
    <w:link w:val="B1"/>
    <w:qFormat/>
    <w:locked/>
    <w:rsid w:val="00C356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6" ma:contentTypeDescription="Create a new document." ma:contentTypeScope="" ma:versionID="d4c75edc17fd47d9d29adf9afc4731e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0c19a8fd442119c61c220beb605dfcc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449087-F577-4AAE-AE76-110DF80B57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1838E7-4EAF-4175-A89C-8FF8D100D2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266</TotalTime>
  <Pages>2</Pages>
  <Words>621</Words>
  <Characters>3542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4155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103</cp:revision>
  <cp:lastPrinted>1899-12-31T23:00:00Z</cp:lastPrinted>
  <dcterms:created xsi:type="dcterms:W3CDTF">2023-03-03T10:32:00Z</dcterms:created>
  <dcterms:modified xsi:type="dcterms:W3CDTF">2023-04-07T11:23:00Z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